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24337C" w:rsidRDefault="004977EC" w:rsidP="00D768B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24337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24337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24337C">
        <w:rPr>
          <w:rFonts w:ascii="Tahoma" w:hAnsi="Tahoma" w:cs="Tahoma"/>
          <w:b/>
          <w:i/>
          <w:sz w:val="24"/>
          <w:szCs w:val="24"/>
        </w:rPr>
        <w:t>L</w:t>
      </w:r>
      <w:r w:rsidR="000A0F7E" w:rsidRPr="0024337C">
        <w:rPr>
          <w:rFonts w:ascii="Tahoma" w:hAnsi="Tahoma" w:cs="Tahoma"/>
          <w:b/>
          <w:i/>
          <w:sz w:val="24"/>
          <w:szCs w:val="24"/>
        </w:rPr>
        <w:t>A</w:t>
      </w:r>
      <w:r w:rsidRPr="0024337C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24337C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07397" w:rsidRPr="0024337C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24337C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24337C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2D2874" w:rsidRPr="0024337C" w:rsidRDefault="002F784D" w:rsidP="00D768B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24337C">
        <w:rPr>
          <w:rFonts w:ascii="Tahoma" w:hAnsi="Tahoma" w:cs="Tahoma"/>
          <w:b/>
          <w:i/>
          <w:sz w:val="24"/>
          <w:szCs w:val="24"/>
        </w:rPr>
        <w:t xml:space="preserve">MIÉRCOLES </w:t>
      </w:r>
      <w:r w:rsidR="00A83A3B" w:rsidRPr="0024337C">
        <w:rPr>
          <w:rFonts w:ascii="Tahoma" w:hAnsi="Tahoma" w:cs="Tahoma"/>
          <w:b/>
          <w:i/>
          <w:sz w:val="24"/>
          <w:szCs w:val="24"/>
        </w:rPr>
        <w:t>1</w:t>
      </w:r>
      <w:r w:rsidR="00B21611" w:rsidRPr="0024337C">
        <w:rPr>
          <w:rFonts w:ascii="Tahoma" w:hAnsi="Tahoma" w:cs="Tahoma"/>
          <w:b/>
          <w:i/>
          <w:sz w:val="24"/>
          <w:szCs w:val="24"/>
        </w:rPr>
        <w:t>8</w:t>
      </w:r>
      <w:r w:rsidR="00296F7D" w:rsidRPr="0024337C">
        <w:rPr>
          <w:rFonts w:ascii="Tahoma" w:hAnsi="Tahoma" w:cs="Tahoma"/>
          <w:b/>
          <w:i/>
          <w:sz w:val="24"/>
          <w:szCs w:val="24"/>
        </w:rPr>
        <w:t xml:space="preserve"> </w:t>
      </w:r>
      <w:r w:rsidR="007F1C6F" w:rsidRPr="0024337C">
        <w:rPr>
          <w:rFonts w:ascii="Tahoma" w:hAnsi="Tahoma" w:cs="Tahoma"/>
          <w:b/>
          <w:i/>
          <w:sz w:val="24"/>
          <w:szCs w:val="24"/>
        </w:rPr>
        <w:t xml:space="preserve">DE </w:t>
      </w:r>
      <w:r w:rsidR="00296F7D" w:rsidRPr="0024337C">
        <w:rPr>
          <w:rFonts w:ascii="Tahoma" w:hAnsi="Tahoma" w:cs="Tahoma"/>
          <w:b/>
          <w:i/>
          <w:sz w:val="24"/>
          <w:szCs w:val="24"/>
        </w:rPr>
        <w:t xml:space="preserve">NOVIEMBRE </w:t>
      </w:r>
      <w:r w:rsidR="003310E0" w:rsidRPr="0024337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24337C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24337C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24337C" w:rsidRDefault="003310E0" w:rsidP="00D768B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24337C">
        <w:rPr>
          <w:rFonts w:ascii="Tahoma" w:hAnsi="Tahoma" w:cs="Tahoma"/>
          <w:b/>
          <w:i/>
          <w:sz w:val="24"/>
          <w:szCs w:val="24"/>
        </w:rPr>
        <w:t>1</w:t>
      </w:r>
      <w:r w:rsidR="00F14682" w:rsidRPr="0024337C">
        <w:rPr>
          <w:rFonts w:ascii="Tahoma" w:hAnsi="Tahoma" w:cs="Tahoma"/>
          <w:b/>
          <w:i/>
          <w:sz w:val="24"/>
          <w:szCs w:val="24"/>
        </w:rPr>
        <w:t>1</w:t>
      </w:r>
      <w:r w:rsidRPr="0024337C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24337C">
        <w:rPr>
          <w:rFonts w:ascii="Tahoma" w:hAnsi="Tahoma" w:cs="Tahoma"/>
          <w:b/>
          <w:i/>
          <w:sz w:val="24"/>
          <w:szCs w:val="24"/>
        </w:rPr>
        <w:t>HORAS.</w:t>
      </w:r>
    </w:p>
    <w:p w:rsidR="006B7EE8" w:rsidRPr="0024337C" w:rsidRDefault="006B7EE8" w:rsidP="00D768B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</w:p>
    <w:p w:rsidR="00F14682" w:rsidRPr="0024337C" w:rsidRDefault="00F14682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4337C">
        <w:rPr>
          <w:rFonts w:ascii="Tahoma" w:hAnsi="Tahoma" w:cs="Tahoma"/>
          <w:i/>
          <w:iCs/>
          <w:sz w:val="23"/>
          <w:szCs w:val="23"/>
        </w:rPr>
        <w:t>EL ORDEN DEL DÍA SERÁ EL SIGUIENTE:</w:t>
      </w: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4337C">
        <w:rPr>
          <w:rFonts w:ascii="Tahoma" w:hAnsi="Tahoma" w:cs="Tahoma"/>
          <w:b/>
          <w:bCs/>
          <w:i/>
          <w:iCs/>
          <w:sz w:val="23"/>
          <w:szCs w:val="23"/>
        </w:rPr>
        <w:t>I.-</w:t>
      </w:r>
      <w:r w:rsidRPr="0024337C">
        <w:rPr>
          <w:rFonts w:ascii="Tahoma" w:hAnsi="Tahoma" w:cs="Tahoma"/>
          <w:i/>
          <w:iCs/>
          <w:sz w:val="23"/>
          <w:szCs w:val="23"/>
        </w:rPr>
        <w:t xml:space="preserve"> LECTURA DEL ORDEN DEL DÍA.</w:t>
      </w: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:rsidR="00B21611" w:rsidRPr="0024337C" w:rsidRDefault="00B21611" w:rsidP="00D768BF">
      <w:pPr>
        <w:pStyle w:val="Textoindependiente2"/>
        <w:shd w:val="clear" w:color="auto" w:fill="FFFFFF" w:themeFill="background1"/>
        <w:rPr>
          <w:rFonts w:ascii="Tahoma" w:hAnsi="Tahoma" w:cs="Tahoma"/>
          <w:b w:val="0"/>
          <w:i/>
          <w:iCs/>
          <w:sz w:val="23"/>
          <w:szCs w:val="23"/>
        </w:rPr>
      </w:pPr>
      <w:r w:rsidRPr="0024337C">
        <w:rPr>
          <w:rFonts w:ascii="Tahoma" w:hAnsi="Tahoma" w:cs="Tahoma"/>
          <w:bCs w:val="0"/>
          <w:i/>
          <w:iCs/>
          <w:sz w:val="23"/>
          <w:szCs w:val="23"/>
        </w:rPr>
        <w:t>II.-</w:t>
      </w:r>
      <w:r w:rsidRPr="0024337C">
        <w:rPr>
          <w:rFonts w:ascii="Tahoma" w:hAnsi="Tahoma" w:cs="Tahoma"/>
          <w:b w:val="0"/>
          <w:bCs w:val="0"/>
          <w:i/>
          <w:iCs/>
          <w:sz w:val="23"/>
          <w:szCs w:val="23"/>
        </w:rPr>
        <w:t xml:space="preserve"> </w:t>
      </w:r>
      <w:r w:rsidRPr="0024337C">
        <w:rPr>
          <w:rStyle w:val="Fuentedepe1e1rrafopredeter"/>
          <w:rFonts w:ascii="Tahoma" w:hAnsi="Tahoma" w:cs="Tahoma"/>
          <w:b w:val="0"/>
          <w:i/>
          <w:iCs/>
          <w:sz w:val="23"/>
          <w:szCs w:val="23"/>
        </w:rPr>
        <w:t>DISCUSIÓN Y VOTACIÓN DE LA SÍNTESIS DEL ACTA DE LA SESIÓN ORDINARIA DE FECHA 11 DE NOVIEMBRE DEL AÑO 2020.</w:t>
      </w:r>
    </w:p>
    <w:p w:rsidR="00B21611" w:rsidRPr="0024337C" w:rsidRDefault="00B21611" w:rsidP="00D768BF">
      <w:pPr>
        <w:pStyle w:val="Textoindependiente"/>
        <w:shd w:val="clear" w:color="auto" w:fill="FFFFFF" w:themeFill="background1"/>
        <w:spacing w:line="360" w:lineRule="auto"/>
        <w:rPr>
          <w:rFonts w:ascii="Tahoma" w:hAnsi="Tahoma" w:cs="Tahoma"/>
          <w:i/>
          <w:iCs/>
          <w:sz w:val="23"/>
          <w:szCs w:val="23"/>
        </w:rPr>
      </w:pPr>
    </w:p>
    <w:p w:rsidR="00B21611" w:rsidRPr="0024337C" w:rsidRDefault="00B21611" w:rsidP="00D768BF">
      <w:pPr>
        <w:pStyle w:val="Textoindependiente"/>
        <w:shd w:val="clear" w:color="auto" w:fill="FFFFFF" w:themeFill="background1"/>
        <w:spacing w:line="360" w:lineRule="auto"/>
        <w:rPr>
          <w:rFonts w:ascii="Tahoma" w:hAnsi="Tahoma" w:cs="Tahoma"/>
          <w:b w:val="0"/>
          <w:i/>
          <w:iCs/>
          <w:sz w:val="23"/>
          <w:szCs w:val="23"/>
        </w:rPr>
      </w:pPr>
      <w:r w:rsidRPr="0024337C">
        <w:rPr>
          <w:rFonts w:ascii="Tahoma" w:hAnsi="Tahoma" w:cs="Tahoma"/>
          <w:bCs/>
          <w:i/>
          <w:iCs/>
          <w:sz w:val="23"/>
          <w:szCs w:val="23"/>
        </w:rPr>
        <w:t>III.-</w:t>
      </w:r>
      <w:r w:rsidRPr="0024337C">
        <w:rPr>
          <w:rFonts w:ascii="Tahoma" w:hAnsi="Tahoma" w:cs="Tahoma"/>
          <w:b w:val="0"/>
          <w:bCs/>
          <w:i/>
          <w:iCs/>
          <w:sz w:val="23"/>
          <w:szCs w:val="23"/>
        </w:rPr>
        <w:t xml:space="preserve"> </w:t>
      </w:r>
      <w:r w:rsidRPr="0024337C">
        <w:rPr>
          <w:rFonts w:ascii="Tahoma" w:hAnsi="Tahoma" w:cs="Tahoma"/>
          <w:b w:val="0"/>
          <w:i/>
          <w:iCs/>
          <w:sz w:val="23"/>
          <w:szCs w:val="23"/>
        </w:rPr>
        <w:t>ASUNTOS EN CARTERA:</w:t>
      </w:r>
    </w:p>
    <w:p w:rsidR="00A51A4D" w:rsidRPr="0024337C" w:rsidRDefault="00A51A4D" w:rsidP="00A51A4D">
      <w:pPr>
        <w:pStyle w:val="Textoindependiente"/>
        <w:shd w:val="clear" w:color="auto" w:fill="FFFFFF" w:themeFill="background1"/>
        <w:spacing w:line="360" w:lineRule="auto"/>
        <w:rPr>
          <w:rFonts w:ascii="Tahoma" w:hAnsi="Tahoma" w:cs="Tahoma"/>
          <w:b w:val="0"/>
          <w:i/>
          <w:iCs/>
          <w:sz w:val="22"/>
          <w:szCs w:val="22"/>
        </w:rPr>
      </w:pPr>
    </w:p>
    <w:p w:rsidR="00A51A4D" w:rsidRPr="0024337C" w:rsidRDefault="00A51A4D" w:rsidP="00A51A4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24337C">
        <w:rPr>
          <w:rFonts w:ascii="Tahoma" w:hAnsi="Tahoma" w:cs="Tahoma"/>
          <w:i/>
          <w:iCs/>
          <w:color w:val="000000"/>
          <w:sz w:val="22"/>
          <w:szCs w:val="22"/>
        </w:rPr>
        <w:t>OFICIO CIRCULAR NÚMERO 242 DE LA HONORABLE LEGISLATURA DEL ESTADO GUANAJUATO.</w:t>
      </w:r>
    </w:p>
    <w:p w:rsidR="00A51A4D" w:rsidRPr="0024337C" w:rsidRDefault="00A51A4D" w:rsidP="00A51A4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24337C">
        <w:rPr>
          <w:rFonts w:ascii="Tahoma" w:eastAsia="Arial" w:hAnsi="Tahoma" w:cs="Tahoma"/>
          <w:i/>
          <w:color w:val="000000"/>
          <w:sz w:val="22"/>
          <w:szCs w:val="22"/>
        </w:rPr>
        <w:t xml:space="preserve">ESCRITO POR MEDIO DEL CUAL </w:t>
      </w:r>
      <w:r w:rsidR="00081F69">
        <w:rPr>
          <w:rFonts w:ascii="Tahoma" w:eastAsia="Arial" w:hAnsi="Tahoma" w:cs="Tahoma"/>
          <w:i/>
          <w:color w:val="000000"/>
          <w:sz w:val="22"/>
          <w:szCs w:val="22"/>
        </w:rPr>
        <w:t xml:space="preserve">SE </w:t>
      </w:r>
      <w:r w:rsidRPr="0024337C">
        <w:rPr>
          <w:rFonts w:ascii="Tahoma" w:eastAsia="Arial" w:hAnsi="Tahoma" w:cs="Tahoma"/>
          <w:i/>
          <w:color w:val="000000"/>
          <w:sz w:val="22"/>
          <w:szCs w:val="22"/>
        </w:rPr>
        <w:t>S</w:t>
      </w:r>
      <w:r w:rsidR="00081F69">
        <w:rPr>
          <w:rFonts w:ascii="Tahoma" w:eastAsia="Arial" w:hAnsi="Tahoma" w:cs="Tahoma"/>
          <w:i/>
          <w:color w:val="000000"/>
          <w:sz w:val="22"/>
          <w:szCs w:val="22"/>
        </w:rPr>
        <w:t>OLICITA</w:t>
      </w:r>
      <w:r w:rsidRPr="0024337C">
        <w:rPr>
          <w:rFonts w:ascii="Tahoma" w:eastAsia="Arial" w:hAnsi="Tahoma" w:cs="Tahoma"/>
          <w:i/>
          <w:color w:val="000000"/>
          <w:sz w:val="22"/>
          <w:szCs w:val="22"/>
        </w:rPr>
        <w:t xml:space="preserve"> AL H. CONGRESO DEL ESTADO DE YUCATÁN QUE SE DEROGUE LA LEY QUE CREA EL ORGANISMO PÚBLICO DESCENTRALIZADO DENOMINADO “SISTEMA DE AGUA POTABLE Y ALCANTARILLADO DEL MUNICIPIO DE SEYÉ, YUCATÁN”, SIGNADO POR LA C. LIZBETH MARÍA CAUICH PUCH, PRESIDENTA MUNICIPAL DE SEYÉ, YUCATÁN. </w:t>
      </w:r>
    </w:p>
    <w:p w:rsidR="00A51A4D" w:rsidRPr="0024337C" w:rsidRDefault="00A51A4D" w:rsidP="00A51A4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24337C">
        <w:rPr>
          <w:rFonts w:ascii="Tahoma" w:eastAsia="Arial" w:hAnsi="Tahoma" w:cs="Tahoma"/>
          <w:i/>
          <w:sz w:val="22"/>
          <w:szCs w:val="22"/>
        </w:rPr>
        <w:t>INICIATIVA CON PROYECTO DE DECRETO POR EL QUE SE ADICIONAN Y REFORMAN DIVERSAS DISPOSICIONES A LA LEY DE ASENTAMIENTOS HUMANOS DEL ESTADO DE YUCATÁN, LA LEY DE DESARROLLOS INMOBILIARIOS DEL ESTADO DE YUCATÁN Y LA LEY DE FRACCIONAMIENTOS DEL ESTADO DE YUCATÁN EN MATERIA DE CORRESPONSABILIDAD A LOS PERITOS VALUADORES, ESTUDIOS HIDROLÓGICOS Y SANCIONES A LOS FUNCIONARIOS Y EMPLEADOS DEL GOBIERNO DEL ESTADO Y AYUNTAMIENTOS, SUSCRITA POR LAS DIPUTADAS MARÍA DE LOS MILAGROS ROMERO BASTARRACHEA Y SILVIA AMÉRICA LÓPEZ ESCOFFIÉ.</w:t>
      </w:r>
    </w:p>
    <w:p w:rsidR="00C15631" w:rsidRPr="0024337C" w:rsidRDefault="00C15631" w:rsidP="00A51A4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24337C">
        <w:rPr>
          <w:rFonts w:ascii="Tahoma" w:hAnsi="Tahoma" w:cs="Tahoma"/>
          <w:i/>
          <w:sz w:val="22"/>
          <w:szCs w:val="22"/>
        </w:rPr>
        <w:lastRenderedPageBreak/>
        <w:t>INICIATIVA CON PROYECTO DE DECRETO POR EL QUE SE CREA LA LEY DE DESARROLLO SOCIAL PARA EL ESTADO DE YUCATÁN, SUSCRITA POR</w:t>
      </w:r>
      <w:r w:rsidR="0036188E">
        <w:rPr>
          <w:rFonts w:ascii="Tahoma" w:hAnsi="Tahoma" w:cs="Tahoma"/>
          <w:i/>
          <w:sz w:val="22"/>
          <w:szCs w:val="22"/>
        </w:rPr>
        <w:t xml:space="preserve"> EL DIPUTADO FELIPE CERVERA HERNÁNDEZ</w:t>
      </w:r>
      <w:r w:rsidRPr="0024337C">
        <w:rPr>
          <w:rFonts w:ascii="Tahoma" w:hAnsi="Tahoma" w:cs="Tahoma"/>
          <w:i/>
          <w:sz w:val="22"/>
          <w:szCs w:val="22"/>
        </w:rPr>
        <w:t xml:space="preserve">. </w:t>
      </w:r>
    </w:p>
    <w:p w:rsidR="00AC74AD" w:rsidRPr="00AC74AD" w:rsidRDefault="00AC74AD" w:rsidP="00AC74A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AC74AD">
        <w:rPr>
          <w:rFonts w:ascii="Tahoma" w:eastAsia="Arial" w:hAnsi="Tahoma" w:cs="Tahoma"/>
          <w:i/>
          <w:sz w:val="23"/>
          <w:szCs w:val="23"/>
        </w:rPr>
        <w:t xml:space="preserve">INICIATIVA CON PROYECTO DE DECRETO POR EL QUE SE REFORMA LA LEY GENERAL DE HACIENDA DEL ESTADO DE YUCATÁN, EN MATERIA DE SERVICIOS QUE  PRESTA EL PODER LEGISLATIVO DEL </w:t>
      </w:r>
      <w:r w:rsidR="0007378E">
        <w:rPr>
          <w:rFonts w:ascii="Tahoma" w:eastAsia="Arial" w:hAnsi="Tahoma" w:cs="Tahoma"/>
          <w:i/>
          <w:sz w:val="23"/>
          <w:szCs w:val="23"/>
        </w:rPr>
        <w:t xml:space="preserve">ESTADO DE YUCATÁN, </w:t>
      </w:r>
      <w:r w:rsidRPr="00AC74AD">
        <w:rPr>
          <w:rFonts w:ascii="Tahoma" w:eastAsia="Arial" w:hAnsi="Tahoma" w:cs="Tahoma"/>
          <w:i/>
          <w:sz w:val="23"/>
          <w:szCs w:val="23"/>
        </w:rPr>
        <w:t>SIGNADA POR EL DIPUTADO FELIPE CERVERA HERNÁNDEZ.</w:t>
      </w:r>
    </w:p>
    <w:p w:rsidR="00A51A4D" w:rsidRPr="0024337C" w:rsidRDefault="00A51A4D" w:rsidP="00A51A4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bookmarkStart w:id="0" w:name="_GoBack"/>
      <w:bookmarkEnd w:id="0"/>
      <w:r w:rsidRPr="0024337C">
        <w:rPr>
          <w:rFonts w:ascii="Tahoma" w:eastAsiaTheme="minorHAnsi" w:hAnsi="Tahoma" w:cs="Tahoma"/>
          <w:i/>
          <w:iCs/>
          <w:color w:val="000000"/>
          <w:sz w:val="22"/>
          <w:szCs w:val="22"/>
          <w:lang w:eastAsia="en-US"/>
        </w:rPr>
        <w:t xml:space="preserve">DICTAMEN DE ACUERDO DE LA COMISIÓN PERMANENTE DE VIGILANCIA DE LA CUENTA PÚBLICA, TRANSPARENCIA Y ANTICORRUPCIÓN, QUE CONTIENE LA TERNA DE CANDIDATAS PARA OCUPAR EL CARGO DE COMISIONADA DEL INSTITUTO ESTATAL DE TRANSPARENCIA, ACCESO A LA INFORMACIÓN PÚBLICA Y PROTECCIÓN DE DATOS PERSONALES DEL ESTADO DE YUCATÁN. </w:t>
      </w:r>
      <w:r w:rsidRPr="0024337C">
        <w:rPr>
          <w:rFonts w:ascii="Tahoma" w:hAnsi="Tahoma" w:cs="Tahoma"/>
          <w:i/>
          <w:iCs/>
          <w:sz w:val="22"/>
          <w:szCs w:val="22"/>
        </w:rPr>
        <w:t>Y COMO CONSECUENCIA DE ELLO, EN SU CASO DESIGNACIÓN DE UNA COMISIONADA DEL INSTITUTO ESTATAL DE TRANSPARENCIA, ACCESO A LA INFORMACIÓN PÚBLICA Y PROTECCIÓN DE DATOS PERSONALES DEL ESTADO DE YUCATÁN.</w:t>
      </w:r>
    </w:p>
    <w:p w:rsidR="00A51A4D" w:rsidRPr="0024337C" w:rsidRDefault="00A51A4D" w:rsidP="00A51A4D">
      <w:pPr>
        <w:pStyle w:val="Prrafodelista"/>
        <w:widowControl/>
        <w:numPr>
          <w:ilvl w:val="0"/>
          <w:numId w:val="8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24337C">
        <w:rPr>
          <w:rFonts w:ascii="Tahoma" w:eastAsia="Arial" w:hAnsi="Tahoma" w:cs="Tahoma"/>
          <w:i/>
          <w:color w:val="000000"/>
          <w:sz w:val="22"/>
          <w:szCs w:val="22"/>
        </w:rPr>
        <w:t>DICTAMEN DE LA COMISIÓN PERMANENTE DE SALUD Y SEGURIDAD SOCIAL, POR EL QUE SE EXPIDE LA LEY PARA LA ATENCIÓN INTEGRAL DEL CÁNCER DE MAMA DEL ESTADO DE YUCATÁN.</w:t>
      </w:r>
    </w:p>
    <w:p w:rsidR="00B21611" w:rsidRPr="0024337C" w:rsidRDefault="00B21611" w:rsidP="00A51A4D">
      <w:pP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i/>
          <w:color w:val="000000"/>
          <w:sz w:val="23"/>
          <w:szCs w:val="23"/>
        </w:rPr>
      </w:pP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4337C">
        <w:rPr>
          <w:rFonts w:ascii="Tahoma" w:hAnsi="Tahoma" w:cs="Tahoma"/>
          <w:b/>
          <w:bCs/>
          <w:i/>
          <w:iCs/>
          <w:sz w:val="23"/>
          <w:szCs w:val="23"/>
        </w:rPr>
        <w:t>IV.-</w:t>
      </w:r>
      <w:r w:rsidRPr="0024337C">
        <w:rPr>
          <w:rFonts w:ascii="Tahoma" w:hAnsi="Tahoma" w:cs="Tahoma"/>
          <w:i/>
          <w:iCs/>
          <w:sz w:val="23"/>
          <w:szCs w:val="23"/>
        </w:rPr>
        <w:t xml:space="preserve"> ASUNTOS GENERALES.</w:t>
      </w: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4337C">
        <w:rPr>
          <w:rFonts w:ascii="Tahoma" w:hAnsi="Tahoma" w:cs="Tahoma"/>
          <w:b/>
          <w:bCs/>
          <w:i/>
          <w:iCs/>
          <w:sz w:val="23"/>
          <w:szCs w:val="23"/>
        </w:rPr>
        <w:t>V.-</w:t>
      </w:r>
      <w:r w:rsidRPr="0024337C">
        <w:rPr>
          <w:rFonts w:ascii="Tahoma" w:hAnsi="Tahoma" w:cs="Tahoma"/>
          <w:i/>
          <w:iCs/>
          <w:sz w:val="23"/>
          <w:szCs w:val="23"/>
        </w:rPr>
        <w:t xml:space="preserve"> CONVOCATORIA PARA LA PRÓXIMA SESIÓN QUE DEBERÁ CELEBRAR ESTE CONGRESO, Y</w:t>
      </w: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</w:p>
    <w:p w:rsidR="00B21611" w:rsidRPr="0024337C" w:rsidRDefault="00B21611" w:rsidP="00D768B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3"/>
          <w:szCs w:val="23"/>
        </w:rPr>
      </w:pPr>
      <w:r w:rsidRPr="0024337C">
        <w:rPr>
          <w:rFonts w:ascii="Tahoma" w:hAnsi="Tahoma" w:cs="Tahoma"/>
          <w:b/>
          <w:bCs/>
          <w:i/>
          <w:iCs/>
          <w:sz w:val="23"/>
          <w:szCs w:val="23"/>
        </w:rPr>
        <w:t>VI.-</w:t>
      </w:r>
      <w:r w:rsidRPr="0024337C">
        <w:rPr>
          <w:rFonts w:ascii="Tahoma" w:hAnsi="Tahoma" w:cs="Tahoma"/>
          <w:i/>
          <w:iCs/>
          <w:sz w:val="23"/>
          <w:szCs w:val="23"/>
        </w:rPr>
        <w:t xml:space="preserve"> CLAUSURA DE LA SESIÓN.</w:t>
      </w:r>
    </w:p>
    <w:sectPr w:rsidR="00B21611" w:rsidRPr="0024337C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1" w:rsidRDefault="009C0021" w:rsidP="00242A64">
      <w:r>
        <w:separator/>
      </w:r>
    </w:p>
  </w:endnote>
  <w:endnote w:type="continuationSeparator" w:id="0">
    <w:p w:rsidR="009C0021" w:rsidRDefault="009C002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8333EE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1" w:rsidRDefault="009C0021" w:rsidP="00242A64">
      <w:r>
        <w:separator/>
      </w:r>
    </w:p>
  </w:footnote>
  <w:footnote w:type="continuationSeparator" w:id="0">
    <w:p w:rsidR="009C0021" w:rsidRDefault="009C002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467792C" wp14:editId="60A03BD0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A00D1"/>
    <w:rsid w:val="000A0F7E"/>
    <w:rsid w:val="000A1317"/>
    <w:rsid w:val="000A5C98"/>
    <w:rsid w:val="000A5E1D"/>
    <w:rsid w:val="000A6248"/>
    <w:rsid w:val="000B55E2"/>
    <w:rsid w:val="000F128B"/>
    <w:rsid w:val="000F2D1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96F70"/>
    <w:rsid w:val="001A65E0"/>
    <w:rsid w:val="001A7A4D"/>
    <w:rsid w:val="001B6768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B1CF8"/>
    <w:rsid w:val="002B2E52"/>
    <w:rsid w:val="002D2874"/>
    <w:rsid w:val="002F121F"/>
    <w:rsid w:val="002F2A6D"/>
    <w:rsid w:val="002F33A4"/>
    <w:rsid w:val="002F784D"/>
    <w:rsid w:val="00304984"/>
    <w:rsid w:val="00312AF5"/>
    <w:rsid w:val="003310E0"/>
    <w:rsid w:val="00340199"/>
    <w:rsid w:val="0036188E"/>
    <w:rsid w:val="003673E6"/>
    <w:rsid w:val="003967B4"/>
    <w:rsid w:val="003A2D9E"/>
    <w:rsid w:val="003D5C57"/>
    <w:rsid w:val="003D7EF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B03AF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41BCB"/>
    <w:rsid w:val="00545768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3BA9"/>
    <w:rsid w:val="006B7518"/>
    <w:rsid w:val="006B7EE8"/>
    <w:rsid w:val="006C0FE4"/>
    <w:rsid w:val="006E3799"/>
    <w:rsid w:val="006E4C6B"/>
    <w:rsid w:val="006F1C3A"/>
    <w:rsid w:val="007067B7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3EE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527D"/>
    <w:rsid w:val="008C56E4"/>
    <w:rsid w:val="008C6164"/>
    <w:rsid w:val="008D6FFF"/>
    <w:rsid w:val="008E4865"/>
    <w:rsid w:val="008E4DDC"/>
    <w:rsid w:val="008F23E1"/>
    <w:rsid w:val="008F483B"/>
    <w:rsid w:val="00906BC4"/>
    <w:rsid w:val="00913F5A"/>
    <w:rsid w:val="00930366"/>
    <w:rsid w:val="00946C12"/>
    <w:rsid w:val="009476D3"/>
    <w:rsid w:val="009616CF"/>
    <w:rsid w:val="00961A96"/>
    <w:rsid w:val="009720E7"/>
    <w:rsid w:val="00986AE3"/>
    <w:rsid w:val="00991A9E"/>
    <w:rsid w:val="00994AB2"/>
    <w:rsid w:val="009A14FC"/>
    <w:rsid w:val="009C0021"/>
    <w:rsid w:val="009E055B"/>
    <w:rsid w:val="009E12DC"/>
    <w:rsid w:val="009E514B"/>
    <w:rsid w:val="009F3000"/>
    <w:rsid w:val="00A2438F"/>
    <w:rsid w:val="00A3622A"/>
    <w:rsid w:val="00A51A4D"/>
    <w:rsid w:val="00A52209"/>
    <w:rsid w:val="00A55499"/>
    <w:rsid w:val="00A556C2"/>
    <w:rsid w:val="00A67B51"/>
    <w:rsid w:val="00A81A46"/>
    <w:rsid w:val="00A83A3B"/>
    <w:rsid w:val="00A86E64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5C5C"/>
    <w:rsid w:val="00B21611"/>
    <w:rsid w:val="00B21BCC"/>
    <w:rsid w:val="00B22E69"/>
    <w:rsid w:val="00B40A02"/>
    <w:rsid w:val="00B649D2"/>
    <w:rsid w:val="00B905A2"/>
    <w:rsid w:val="00B94ABD"/>
    <w:rsid w:val="00BB16A1"/>
    <w:rsid w:val="00BC3498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27ADD"/>
    <w:rsid w:val="00C44E69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A2387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C36E1"/>
    <w:rsid w:val="00DD3B0D"/>
    <w:rsid w:val="00E21A44"/>
    <w:rsid w:val="00E25C0A"/>
    <w:rsid w:val="00E35C23"/>
    <w:rsid w:val="00E66629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E1D6-6801-43F0-8EAE-BABCA848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3</cp:revision>
  <cp:lastPrinted>2020-11-18T00:55:00Z</cp:lastPrinted>
  <dcterms:created xsi:type="dcterms:W3CDTF">2020-11-18T16:32:00Z</dcterms:created>
  <dcterms:modified xsi:type="dcterms:W3CDTF">2020-11-18T16:33:00Z</dcterms:modified>
</cp:coreProperties>
</file>